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F36B2" w14:textId="3A1659AF" w:rsidR="00560CC8" w:rsidRPr="00560CC8" w:rsidRDefault="00560CC8" w:rsidP="00560CC8">
      <w:pPr>
        <w:widowControl w:val="0"/>
        <w:tabs>
          <w:tab w:val="left" w:pos="1701"/>
          <w:tab w:val="right" w:pos="9923"/>
        </w:tabs>
        <w:overflowPunct/>
        <w:autoSpaceDE/>
        <w:autoSpaceDN/>
        <w:adjustRightInd/>
        <w:spacing w:before="120" w:after="0"/>
        <w:jc w:val="center"/>
        <w:textAlignment w:val="auto"/>
        <w:rPr>
          <w:rFonts w:eastAsia="MS Mincho"/>
          <w:b/>
          <w:sz w:val="24"/>
          <w:szCs w:val="24"/>
          <w:lang w:eastAsia="x-none"/>
        </w:rPr>
      </w:pPr>
      <w:r w:rsidRPr="00560CC8">
        <w:rPr>
          <w:rFonts w:eastAsia="MS Mincho"/>
          <w:b/>
          <w:sz w:val="24"/>
          <w:szCs w:val="24"/>
          <w:lang w:eastAsia="x-none"/>
        </w:rPr>
        <w:t>3GPP TSG-RAN WG2 NR Ad Hoc</w:t>
      </w:r>
      <w:r w:rsidRPr="00560CC8">
        <w:rPr>
          <w:rFonts w:eastAsia="MS Mincho"/>
          <w:b/>
          <w:sz w:val="24"/>
          <w:szCs w:val="24"/>
          <w:lang w:eastAsia="x-none"/>
        </w:rPr>
        <w:tab/>
        <w:t>R2-17</w:t>
      </w:r>
      <w:r w:rsidR="006D0510">
        <w:rPr>
          <w:rFonts w:eastAsia="MS Mincho"/>
          <w:b/>
          <w:sz w:val="24"/>
          <w:szCs w:val="24"/>
          <w:lang w:eastAsia="x-none"/>
        </w:rPr>
        <w:t>00408</w:t>
      </w:r>
    </w:p>
    <w:p w14:paraId="1A1230B8" w14:textId="77777777" w:rsidR="00560CC8" w:rsidRPr="00560CC8" w:rsidRDefault="00560CC8" w:rsidP="00560CC8">
      <w:pPr>
        <w:widowControl w:val="0"/>
        <w:tabs>
          <w:tab w:val="left" w:pos="1701"/>
          <w:tab w:val="right" w:pos="9923"/>
        </w:tabs>
        <w:overflowPunct/>
        <w:autoSpaceDE/>
        <w:autoSpaceDN/>
        <w:adjustRightInd/>
        <w:spacing w:before="120" w:after="0"/>
        <w:jc w:val="left"/>
        <w:textAlignment w:val="auto"/>
        <w:rPr>
          <w:rFonts w:eastAsia="MS Mincho"/>
          <w:b/>
          <w:sz w:val="24"/>
          <w:szCs w:val="24"/>
          <w:lang w:eastAsia="x-none"/>
        </w:rPr>
      </w:pPr>
      <w:r w:rsidRPr="00560CC8">
        <w:rPr>
          <w:rFonts w:eastAsia="MS Mincho"/>
          <w:b/>
          <w:sz w:val="24"/>
          <w:szCs w:val="24"/>
          <w:lang w:eastAsia="x-none"/>
        </w:rPr>
        <w:t>Spokane, USA, 17th – 19th January 2017</w:t>
      </w:r>
    </w:p>
    <w:p w14:paraId="56C12257" w14:textId="77777777" w:rsidR="00E90E49" w:rsidRPr="00CE0424" w:rsidRDefault="00E90E49" w:rsidP="00357380">
      <w:pPr>
        <w:pStyle w:val="3GPPHeader"/>
      </w:pPr>
    </w:p>
    <w:p w14:paraId="4A4F422A" w14:textId="621E565F" w:rsidR="00E90E49" w:rsidRPr="009D1790" w:rsidRDefault="00E90E49" w:rsidP="00311702">
      <w:pPr>
        <w:pStyle w:val="3GPPHeader"/>
        <w:rPr>
          <w:sz w:val="22"/>
          <w:lang w:val="en-US"/>
        </w:rPr>
      </w:pPr>
      <w:r w:rsidRPr="009D1790">
        <w:rPr>
          <w:sz w:val="22"/>
          <w:lang w:val="en-US"/>
        </w:rPr>
        <w:t>Agenda Item:</w:t>
      </w:r>
      <w:r w:rsidRPr="009D1790">
        <w:rPr>
          <w:sz w:val="22"/>
          <w:lang w:val="en-US"/>
        </w:rPr>
        <w:tab/>
      </w:r>
      <w:r w:rsidR="00A841B1" w:rsidRPr="009D1790">
        <w:rPr>
          <w:sz w:val="22"/>
          <w:lang w:val="en-US"/>
        </w:rPr>
        <w:t>3.2.1.2</w:t>
      </w:r>
    </w:p>
    <w:p w14:paraId="5DAA27F0" w14:textId="77777777" w:rsidR="00E90E49" w:rsidRPr="008B458F" w:rsidRDefault="003D3C45" w:rsidP="00F64C2B">
      <w:pPr>
        <w:pStyle w:val="3GPPHeader"/>
        <w:rPr>
          <w:sz w:val="22"/>
          <w:szCs w:val="22"/>
        </w:rPr>
      </w:pPr>
      <w:r>
        <w:rPr>
          <w:sz w:val="22"/>
          <w:szCs w:val="22"/>
        </w:rPr>
        <w:t>Source:</w:t>
      </w:r>
      <w:r w:rsidR="00E90E49" w:rsidRPr="00CE0424">
        <w:rPr>
          <w:sz w:val="22"/>
          <w:szCs w:val="22"/>
        </w:rPr>
        <w:tab/>
      </w:r>
      <w:r w:rsidR="00F64C2B" w:rsidRPr="008B458F">
        <w:rPr>
          <w:sz w:val="22"/>
          <w:szCs w:val="22"/>
        </w:rPr>
        <w:t>Ericsson</w:t>
      </w:r>
    </w:p>
    <w:p w14:paraId="63CB047E" w14:textId="76049918" w:rsidR="00E90E49" w:rsidRPr="008B458F" w:rsidRDefault="003D3C45" w:rsidP="00311702">
      <w:pPr>
        <w:pStyle w:val="3GPPHeader"/>
        <w:rPr>
          <w:sz w:val="22"/>
          <w:szCs w:val="22"/>
        </w:rPr>
      </w:pPr>
      <w:r w:rsidRPr="008B458F">
        <w:rPr>
          <w:sz w:val="22"/>
          <w:szCs w:val="22"/>
        </w:rPr>
        <w:t>Title:</w:t>
      </w:r>
      <w:r w:rsidR="00E90E49" w:rsidRPr="008B458F">
        <w:rPr>
          <w:sz w:val="22"/>
          <w:szCs w:val="22"/>
        </w:rPr>
        <w:tab/>
      </w:r>
      <w:r w:rsidR="008B458F" w:rsidRPr="008B458F">
        <w:rPr>
          <w:sz w:val="22"/>
          <w:szCs w:val="22"/>
        </w:rPr>
        <w:t>Modelling of MAC with multiple numerologies</w:t>
      </w:r>
    </w:p>
    <w:p w14:paraId="7E783B99" w14:textId="77777777" w:rsidR="00E90E49" w:rsidRPr="00CE0424" w:rsidRDefault="00E90E49" w:rsidP="00D546FF">
      <w:pPr>
        <w:pStyle w:val="3GPPHeader"/>
        <w:rPr>
          <w:sz w:val="22"/>
          <w:szCs w:val="22"/>
        </w:rPr>
      </w:pPr>
      <w:r w:rsidRPr="008B458F">
        <w:rPr>
          <w:sz w:val="22"/>
          <w:szCs w:val="22"/>
        </w:rPr>
        <w:t>Document for:</w:t>
      </w:r>
      <w:r w:rsidRPr="008B458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307E675" w:rsidR="00D3005B" w:rsidRDefault="008B458F" w:rsidP="00CE0424">
      <w:pPr>
        <w:pStyle w:val="BodyText"/>
      </w:pPr>
      <w:r>
        <w:t>RAN2 has discussed how to model MAC when the UE is configured with multiple numerologies/TTI durations. During RAN2#96 the following agreements and FFSs were identified.</w:t>
      </w:r>
    </w:p>
    <w:p w14:paraId="62AEF90E" w14:textId="77777777" w:rsidR="008B458F" w:rsidRDefault="008B458F" w:rsidP="008B458F">
      <w:pPr>
        <w:pStyle w:val="Doc-text2"/>
        <w:pBdr>
          <w:top w:val="single" w:sz="4" w:space="1" w:color="auto"/>
          <w:left w:val="single" w:sz="4" w:space="4" w:color="auto"/>
          <w:bottom w:val="single" w:sz="4" w:space="1" w:color="auto"/>
          <w:right w:val="single" w:sz="4" w:space="4" w:color="auto"/>
        </w:pBdr>
      </w:pPr>
      <w:r>
        <w:t>Agreements</w:t>
      </w:r>
    </w:p>
    <w:p w14:paraId="6D956D64" w14:textId="77777777" w:rsidR="008B458F" w:rsidRDefault="008B458F" w:rsidP="008B458F">
      <w:pPr>
        <w:pStyle w:val="Doc-text2"/>
        <w:pBdr>
          <w:top w:val="single" w:sz="4" w:space="1" w:color="auto"/>
          <w:left w:val="single" w:sz="4" w:space="4" w:color="auto"/>
          <w:bottom w:val="single" w:sz="4" w:space="1" w:color="auto"/>
          <w:right w:val="single" w:sz="4" w:space="4" w:color="auto"/>
        </w:pBdr>
      </w:pPr>
      <w:r>
        <w:t>1</w:t>
      </w:r>
      <w:r>
        <w:tab/>
        <w:t>A radio bearer can be configured by the network to be mapped to one or more numerology/TTI duration.</w:t>
      </w:r>
    </w:p>
    <w:p w14:paraId="18929755" w14:textId="77777777" w:rsidR="008B458F" w:rsidRDefault="008B458F" w:rsidP="008B458F">
      <w:pPr>
        <w:pStyle w:val="Doc-text2"/>
        <w:pBdr>
          <w:top w:val="single" w:sz="4" w:space="1" w:color="auto"/>
          <w:left w:val="single" w:sz="4" w:space="4" w:color="auto"/>
          <w:bottom w:val="single" w:sz="4" w:space="1" w:color="auto"/>
          <w:right w:val="single" w:sz="4" w:space="4" w:color="auto"/>
        </w:pBdr>
      </w:pPr>
    </w:p>
    <w:p w14:paraId="4AC4510D" w14:textId="77777777" w:rsidR="008B458F" w:rsidRDefault="008B458F" w:rsidP="008B458F">
      <w:pPr>
        <w:pStyle w:val="Doc-text2"/>
        <w:pBdr>
          <w:top w:val="single" w:sz="4" w:space="1" w:color="auto"/>
          <w:left w:val="single" w:sz="4" w:space="4" w:color="auto"/>
          <w:bottom w:val="single" w:sz="4" w:space="1" w:color="auto"/>
          <w:right w:val="single" w:sz="4" w:space="4" w:color="auto"/>
        </w:pBdr>
      </w:pPr>
      <w:r>
        <w:t>FFS: Whether a</w:t>
      </w:r>
      <w:r w:rsidRPr="009F10F8">
        <w:t xml:space="preserve"> single </w:t>
      </w:r>
      <w:r>
        <w:t>MAC</w:t>
      </w:r>
      <w:r w:rsidRPr="009F10F8">
        <w:t xml:space="preserve"> entity can support one or more numerology/TTI duration</w:t>
      </w:r>
      <w:r>
        <w:t>s (modelling issue)</w:t>
      </w:r>
    </w:p>
    <w:p w14:paraId="686629E6" w14:textId="77777777" w:rsidR="008B458F" w:rsidRDefault="008B458F" w:rsidP="008B458F">
      <w:pPr>
        <w:pStyle w:val="Doc-text2"/>
        <w:pBdr>
          <w:top w:val="single" w:sz="4" w:space="1" w:color="auto"/>
          <w:left w:val="single" w:sz="4" w:space="4" w:color="auto"/>
          <w:bottom w:val="single" w:sz="4" w:space="1" w:color="auto"/>
          <w:right w:val="single" w:sz="4" w:space="4" w:color="auto"/>
        </w:pBdr>
      </w:pPr>
      <w:r>
        <w:t xml:space="preserve">FFS: Whether a single logical channel can be </w:t>
      </w:r>
      <w:r w:rsidRPr="009F10F8">
        <w:t>mapped to one or more numerolo</w:t>
      </w:r>
      <w:r>
        <w:t>gy/TTI duration.</w:t>
      </w:r>
    </w:p>
    <w:p w14:paraId="32625604" w14:textId="77777777" w:rsidR="008B458F" w:rsidRDefault="008B458F" w:rsidP="008B458F">
      <w:pPr>
        <w:pStyle w:val="Doc-text2"/>
        <w:pBdr>
          <w:top w:val="single" w:sz="4" w:space="1" w:color="auto"/>
          <w:left w:val="single" w:sz="4" w:space="4" w:color="auto"/>
          <w:bottom w:val="single" w:sz="4" w:space="1" w:color="auto"/>
          <w:right w:val="single" w:sz="4" w:space="4" w:color="auto"/>
        </w:pBdr>
      </w:pPr>
      <w:r>
        <w:t>FFS: Whether a single HARQ entity can support one or more numerology/TTI duration</w:t>
      </w:r>
    </w:p>
    <w:p w14:paraId="588439CB" w14:textId="2AFFBF2D" w:rsidR="008B458F" w:rsidRDefault="008B458F" w:rsidP="00CE0424">
      <w:pPr>
        <w:pStyle w:val="BodyText"/>
      </w:pPr>
    </w:p>
    <w:p w14:paraId="3055EF0D" w14:textId="581C7C65" w:rsidR="008B458F" w:rsidRPr="00CE0424" w:rsidRDefault="008B458F" w:rsidP="00CE0424">
      <w:pPr>
        <w:pStyle w:val="BodyText"/>
      </w:pPr>
      <w:r>
        <w:t>To this aspect an e-mail discussion was carried out. In this document we provide more information on the topic</w:t>
      </w:r>
      <w:r w:rsidR="00AD17EF">
        <w:t xml:space="preserve"> and proposed to study how to define MAC in an event-triggered fashion</w:t>
      </w:r>
      <w:r>
        <w:t>.</w:t>
      </w:r>
    </w:p>
    <w:p w14:paraId="36CEC7B2" w14:textId="30726034" w:rsidR="001643A8" w:rsidRDefault="004000E8" w:rsidP="00CE0424">
      <w:pPr>
        <w:pStyle w:val="Heading1"/>
      </w:pPr>
      <w:bookmarkStart w:id="0" w:name="_Ref178064866"/>
      <w:r w:rsidRPr="00CE0424">
        <w:t>Discussion</w:t>
      </w:r>
      <w:bookmarkEnd w:id="0"/>
    </w:p>
    <w:p w14:paraId="4A44C361" w14:textId="28A2F941" w:rsidR="00A576BF" w:rsidRDefault="00A576BF" w:rsidP="008B458F">
      <w:r>
        <w:t>The first FFS is whether a single MAC entity is restricted to a single numerology/TTI duration or whether it can support more than one.</w:t>
      </w:r>
      <w:r w:rsidR="00D639A7">
        <w:t xml:space="preserve"> It can be assumed that if the MAC entity is restricted to a single numerology, the behaviour would be similar to LTE, hence it is of interest to analyse the unrestricted case and investigate the differences.</w:t>
      </w:r>
    </w:p>
    <w:p w14:paraId="0E10A765" w14:textId="10702A7C" w:rsidR="00D639A7" w:rsidRDefault="00D639A7" w:rsidP="008B458F">
      <w:r>
        <w:t>Three important MAC functions which would be affected are logical channel prioritization and multiplexing, HARQ, and DRX.</w:t>
      </w:r>
    </w:p>
    <w:p w14:paraId="3A1A91DE" w14:textId="6D6C11D6" w:rsidR="008D04FB" w:rsidRDefault="008D04FB" w:rsidP="008D04FB">
      <w:pPr>
        <w:pStyle w:val="Heading2"/>
      </w:pPr>
      <w:r>
        <w:t>Logical Channel Prioritization and Multiplexing</w:t>
      </w:r>
    </w:p>
    <w:p w14:paraId="13FEABC4" w14:textId="42E205CE" w:rsidR="00D639A7" w:rsidRDefault="00D639A7" w:rsidP="008B458F">
      <w:r>
        <w:t xml:space="preserve">Logical channel prioritization and multiplexing is the process of deciding which logical channel are served in a MAC PDU. It is understood that some logical channels are better served on some numerologies/TTI durations than others. The obvious example is that in order to make the tight latency requirements of URLLC the corresponding logical channels must be served on a short numerology/TTI duration. The MAC PDU can only be transmitted in a single numerology, hence an additional requirement for the LCP must be to take the numerology/TTI duration of the MAC PDU into account. </w:t>
      </w:r>
    </w:p>
    <w:p w14:paraId="4100B256" w14:textId="5D214E2E" w:rsidR="00D639A7" w:rsidRDefault="00D639A7" w:rsidP="00D639A7">
      <w:pPr>
        <w:pStyle w:val="Proposal"/>
      </w:pPr>
      <w:bookmarkStart w:id="1" w:name="_Toc471300911"/>
      <w:bookmarkStart w:id="2" w:name="_Toc471463851"/>
      <w:bookmarkStart w:id="3" w:name="_Toc471478488"/>
      <w:bookmarkStart w:id="4" w:name="_Toc471510670"/>
      <w:r>
        <w:t>LCP shall take the numerology/TTI duration of the MAC PDU into account.</w:t>
      </w:r>
      <w:bookmarkEnd w:id="1"/>
      <w:bookmarkEnd w:id="2"/>
      <w:bookmarkEnd w:id="3"/>
      <w:bookmarkEnd w:id="4"/>
    </w:p>
    <w:p w14:paraId="0F9857AE" w14:textId="53B535FD" w:rsidR="001B62A2" w:rsidRDefault="00984CBF" w:rsidP="008B458F">
      <w:r>
        <w:t xml:space="preserve">We think this can be realized with an additional parameter for the logical channel which would be the "maximum TTI duration". </w:t>
      </w:r>
      <w:r w:rsidR="001B62A2">
        <w:t>We think this parameter can be used to initially select which channels to serve before applying the LCP from LTE can be reused. The procedure would then be something like this:</w:t>
      </w:r>
    </w:p>
    <w:p w14:paraId="69E5147B" w14:textId="1E161ED4" w:rsidR="001B62A2" w:rsidRDefault="001B62A2" w:rsidP="001B62A2">
      <w:pPr>
        <w:pStyle w:val="BodyText"/>
      </w:pPr>
      <w:r>
        <w:t xml:space="preserve">For selection of logical channels to serve for a UL transmission with a TTI duration </w:t>
      </w:r>
      <w:r>
        <w:rPr>
          <w:i/>
        </w:rPr>
        <w:t>t</w:t>
      </w:r>
      <w:r>
        <w:t>:</w:t>
      </w:r>
    </w:p>
    <w:p w14:paraId="51A95BCB" w14:textId="26820012" w:rsidR="001B62A2" w:rsidRDefault="001B62A2" w:rsidP="001B62A2">
      <w:pPr>
        <w:pStyle w:val="B1"/>
      </w:pPr>
      <w:r>
        <w:lastRenderedPageBreak/>
        <w:t>1.</w:t>
      </w:r>
      <w:r>
        <w:tab/>
        <w:t xml:space="preserve">Select all logical channels with a maximum TTI duration greater than, or equal to, </w:t>
      </w:r>
      <w:r>
        <w:rPr>
          <w:i/>
        </w:rPr>
        <w:t>t</w:t>
      </w:r>
      <w:r>
        <w:t>.</w:t>
      </w:r>
    </w:p>
    <w:p w14:paraId="64498ACD" w14:textId="02D2B4BA" w:rsidR="001B62A2" w:rsidRPr="001B62A2" w:rsidRDefault="001B62A2" w:rsidP="001B62A2">
      <w:pPr>
        <w:pStyle w:val="B1"/>
      </w:pPr>
      <w:r>
        <w:t>2.</w:t>
      </w:r>
      <w:r>
        <w:tab/>
        <w:t>Apply LTE LCP on the logical channels selected in step 1.</w:t>
      </w:r>
    </w:p>
    <w:p w14:paraId="4D76BBD7" w14:textId="7CF863DF" w:rsidR="001B62A2" w:rsidRDefault="001B62A2" w:rsidP="008B458F">
      <w:r>
        <w:t>The above procedure implies that an eMBB logical channel which can be served on a TTI of normal duration can also be served on a TTI of "short" duration. We do not think this is a problem, instead it is beneficial to use the complete UL grant of a TTI of "short" duration.</w:t>
      </w:r>
    </w:p>
    <w:p w14:paraId="301668DE" w14:textId="16D03B11" w:rsidR="00984CBF" w:rsidRDefault="00984CBF" w:rsidP="008B458F">
      <w:r>
        <w:t>Together with existing parameters used in the prioritization (e.g. QCI) the UE can fulfil QoS while at the same time prevent that URLLC</w:t>
      </w:r>
      <w:r w:rsidR="001D2166">
        <w:t xml:space="preserve"> traffic</w:t>
      </w:r>
      <w:r>
        <w:t xml:space="preserve"> is served on TTIs which are too long.</w:t>
      </w:r>
      <w:r w:rsidR="001D2166">
        <w:t xml:space="preserve"> For this to work the LCP must be aware of the TTI duration of the MAC PDU. We think the simplest way is if this information is carried in the uplink grant. This can be done explicitly (i.e. some field in the DCI) or implicitly (e.g. the TTI duration of the UL transmission is the same as the DL transmission</w:t>
      </w:r>
      <w:r w:rsidR="001B62A2">
        <w:t xml:space="preserve"> of the UL grant</w:t>
      </w:r>
      <w:r w:rsidR="001D2166">
        <w:t>). We leave the details for RAN1 to decide.</w:t>
      </w:r>
      <w:r w:rsidR="00C620B1">
        <w:t xml:space="preserve"> For completeness, we also mention that the UL grant carries the TB size.</w:t>
      </w:r>
    </w:p>
    <w:p w14:paraId="57D67FE4" w14:textId="4D8106CA" w:rsidR="008F7846" w:rsidRDefault="008F7846" w:rsidP="00984CBF">
      <w:pPr>
        <w:pStyle w:val="Proposal"/>
      </w:pPr>
      <w:bookmarkStart w:id="5" w:name="_Toc471300912"/>
      <w:bookmarkStart w:id="6" w:name="_Toc471463852"/>
      <w:bookmarkStart w:id="7" w:name="_Toc471478489"/>
      <w:bookmarkStart w:id="8" w:name="_Toc471510671"/>
      <w:r>
        <w:t xml:space="preserve">A logical channel can be configured by RRC </w:t>
      </w:r>
      <w:r w:rsidR="00FB3C06">
        <w:t>with a</w:t>
      </w:r>
      <w:r>
        <w:t xml:space="preserve"> "maximum TTI duration".</w:t>
      </w:r>
      <w:bookmarkEnd w:id="5"/>
      <w:bookmarkEnd w:id="6"/>
      <w:bookmarkEnd w:id="7"/>
      <w:bookmarkEnd w:id="8"/>
    </w:p>
    <w:p w14:paraId="7B847516" w14:textId="16AF22CB" w:rsidR="00984CBF" w:rsidRDefault="00C620B1" w:rsidP="00984CBF">
      <w:pPr>
        <w:pStyle w:val="Proposal"/>
      </w:pPr>
      <w:bookmarkStart w:id="9" w:name="_Toc471300913"/>
      <w:bookmarkStart w:id="10" w:name="_Toc471463853"/>
      <w:bookmarkStart w:id="11" w:name="_Toc471478490"/>
      <w:bookmarkStart w:id="12" w:name="_Toc471510672"/>
      <w:r>
        <w:t xml:space="preserve">For the purpose of LCP, </w:t>
      </w:r>
      <w:r w:rsidR="00984CBF">
        <w:t>UL grant carries (explicitly or implicitly) information on the TTI duration</w:t>
      </w:r>
      <w:r w:rsidR="001D2166">
        <w:t xml:space="preserve"> of the UL transmission</w:t>
      </w:r>
      <w:r w:rsidR="00984CBF">
        <w:t>.</w:t>
      </w:r>
      <w:r w:rsidR="001D2166">
        <w:t xml:space="preserve"> RAN1 can decide on the details.</w:t>
      </w:r>
      <w:bookmarkEnd w:id="9"/>
      <w:bookmarkEnd w:id="10"/>
      <w:bookmarkEnd w:id="11"/>
      <w:bookmarkEnd w:id="12"/>
    </w:p>
    <w:p w14:paraId="19C278B1" w14:textId="562395F6" w:rsidR="00C620B1" w:rsidRDefault="00C620B1" w:rsidP="00984CBF">
      <w:pPr>
        <w:pStyle w:val="Proposal"/>
      </w:pPr>
      <w:bookmarkStart w:id="13" w:name="_Toc471300914"/>
      <w:bookmarkStart w:id="14" w:name="_Toc471463854"/>
      <w:bookmarkStart w:id="15" w:name="_Toc471478491"/>
      <w:bookmarkStart w:id="16" w:name="_Toc471510673"/>
      <w:r>
        <w:t>For the purpose of LCP, UL grant carries information on the size of the MAC PDU.</w:t>
      </w:r>
      <w:bookmarkEnd w:id="13"/>
      <w:bookmarkEnd w:id="14"/>
      <w:bookmarkEnd w:id="15"/>
      <w:bookmarkEnd w:id="16"/>
    </w:p>
    <w:p w14:paraId="2E3CE8C4" w14:textId="1BD9EC12" w:rsidR="003628BF" w:rsidRDefault="003628BF" w:rsidP="003628BF">
      <w:pPr>
        <w:pStyle w:val="BodyText"/>
      </w:pPr>
      <w:r>
        <w:t xml:space="preserve">As RAN1 designs the contents of the uplink grants </w:t>
      </w:r>
      <w:r w:rsidR="000016EA">
        <w:t xml:space="preserve">we should inform them and </w:t>
      </w:r>
      <w:bookmarkStart w:id="17" w:name="_GoBack"/>
      <w:bookmarkEnd w:id="17"/>
      <w:r>
        <w:t xml:space="preserve">we have drafted an LS in </w:t>
      </w:r>
      <w:r w:rsidR="000016EA">
        <w:t>[2</w:t>
      </w:r>
      <w:r>
        <w:t xml:space="preserve">]. </w:t>
      </w:r>
    </w:p>
    <w:p w14:paraId="2FC80774" w14:textId="173A8D7D" w:rsidR="003628BF" w:rsidRDefault="003628BF" w:rsidP="003628BF">
      <w:pPr>
        <w:pStyle w:val="Proposal"/>
      </w:pPr>
      <w:bookmarkStart w:id="18" w:name="_Toc471510674"/>
      <w:r>
        <w:t>Send an LS to RAN1 and inform about our assumptions on the uplink grant.</w:t>
      </w:r>
      <w:bookmarkEnd w:id="18"/>
    </w:p>
    <w:p w14:paraId="18EC3151" w14:textId="6A8C3BFD" w:rsidR="001D2166" w:rsidRDefault="001D2166" w:rsidP="008D04FB">
      <w:pPr>
        <w:pStyle w:val="Heading2"/>
      </w:pPr>
      <w:r>
        <w:t>HARQ</w:t>
      </w:r>
      <w:r w:rsidR="008D04FB">
        <w:t xml:space="preserve"> entities</w:t>
      </w:r>
    </w:p>
    <w:p w14:paraId="282D8572" w14:textId="2ECAC391" w:rsidR="008D04FB" w:rsidRDefault="008D04FB" w:rsidP="008B458F">
      <w:r>
        <w:t>With respect to HARQ the situation is a bit more complex. To begin with, we need to consider two different scenarios.</w:t>
      </w:r>
    </w:p>
    <w:p w14:paraId="77053902" w14:textId="3B3C0023" w:rsidR="00A576BF" w:rsidRDefault="00A576BF" w:rsidP="00A576BF">
      <w:pPr>
        <w:pStyle w:val="B1"/>
      </w:pPr>
      <w:r>
        <w:t>1)</w:t>
      </w:r>
      <w:r>
        <w:tab/>
        <w:t>The different numerologies</w:t>
      </w:r>
      <w:r w:rsidR="00BE7BCF">
        <w:t>/TTI durations</w:t>
      </w:r>
      <w:r>
        <w:t xml:space="preserve"> are on different carri</w:t>
      </w:r>
      <w:r w:rsidR="008D04FB">
        <w:t>ers (one numerology per carrier)</w:t>
      </w:r>
    </w:p>
    <w:p w14:paraId="45F9333D" w14:textId="5259D958" w:rsidR="00A576BF" w:rsidRDefault="00A576BF" w:rsidP="00A576BF">
      <w:pPr>
        <w:pStyle w:val="B1"/>
      </w:pPr>
      <w:r>
        <w:t>2)</w:t>
      </w:r>
      <w:r>
        <w:tab/>
        <w:t>The different numerologies</w:t>
      </w:r>
      <w:r w:rsidR="00BE7BCF">
        <w:t>/TTI durations</w:t>
      </w:r>
      <w:r>
        <w:t xml:space="preserve"> are on one carrier</w:t>
      </w:r>
    </w:p>
    <w:p w14:paraId="78092E86" w14:textId="167DEA00" w:rsidR="008D04FB" w:rsidRDefault="008D04FB" w:rsidP="008D04FB">
      <w:pPr>
        <w:pStyle w:val="BodyText"/>
      </w:pPr>
      <w:r>
        <w:t xml:space="preserve">In Scenario 1 where the MAC entity serves multiple carriers and we can reuse the design from carrier aggregation with one HARQ entity per carrier. Having one HARQ entity spanning multiple carriers would give the opportunity to perform HARQ retransmissions on different cells. To make good use of this, the UE must support several </w:t>
      </w:r>
      <w:r w:rsidR="0007393E">
        <w:t xml:space="preserve">activated </w:t>
      </w:r>
      <w:r>
        <w:t>UL cells</w:t>
      </w:r>
      <w:r w:rsidR="0007393E">
        <w:t xml:space="preserve"> something which can be quite costly. The scheduling complexity in the eNB a</w:t>
      </w:r>
      <w:r w:rsidR="00BE7BCF">
        <w:t>lso increases. We do not think the potential gains outweigh the drawbacks.</w:t>
      </w:r>
    </w:p>
    <w:p w14:paraId="0545DFEE" w14:textId="44F2B2C9" w:rsidR="00BE7BCF" w:rsidRDefault="00BE7BCF" w:rsidP="008D04FB">
      <w:pPr>
        <w:pStyle w:val="BodyText"/>
      </w:pPr>
      <w:r>
        <w:t>In Scenario 2 we can analyse any benefits of not restricting the HARQ entity to a single numerology/TTI duration. One benefit is increased flexibility as HARQ retransmissions can be moved from one numerology/TTI duration to another one. This in principle supported in LTE where a HARQ retransmission can be performed in a special subframe of TDD after being transmitted first in a normal subframe</w:t>
      </w:r>
      <w:r w:rsidR="00C9359E">
        <w:t xml:space="preserve"> and vice versa</w:t>
      </w:r>
      <w:r>
        <w:t>.</w:t>
      </w:r>
      <w:r w:rsidR="00C9359E">
        <w:t xml:space="preserve"> Also in LAA the number of OFDM symbols used can be varied to allow for LBT. Restricting a HARQ entity to a single numerology/TTI duration would therefore be a step back from LTE.</w:t>
      </w:r>
      <w:r>
        <w:t xml:space="preserve"> </w:t>
      </w:r>
    </w:p>
    <w:p w14:paraId="0EC1C298" w14:textId="77777777" w:rsidR="00C9359E" w:rsidRDefault="00BE7BCF" w:rsidP="00BE7BCF">
      <w:pPr>
        <w:pStyle w:val="Proposal"/>
      </w:pPr>
      <w:bookmarkStart w:id="19" w:name="_Toc471300915"/>
      <w:bookmarkStart w:id="20" w:name="_Toc471463855"/>
      <w:bookmarkStart w:id="21" w:name="_Toc471478492"/>
      <w:bookmarkStart w:id="22" w:name="_Toc471510675"/>
      <w:r>
        <w:t>The MAC entity has one HARQ Entity per carrier</w:t>
      </w:r>
      <w:r w:rsidR="00C9359E">
        <w:t>.</w:t>
      </w:r>
      <w:bookmarkEnd w:id="19"/>
      <w:bookmarkEnd w:id="20"/>
      <w:bookmarkEnd w:id="21"/>
      <w:bookmarkEnd w:id="22"/>
    </w:p>
    <w:p w14:paraId="17B0AF4D" w14:textId="5D2652F5" w:rsidR="00A576BF" w:rsidRDefault="00C9359E" w:rsidP="00BE7BCF">
      <w:pPr>
        <w:pStyle w:val="Proposal"/>
      </w:pPr>
      <w:bookmarkStart w:id="23" w:name="_Toc471300916"/>
      <w:bookmarkStart w:id="24" w:name="_Toc471463856"/>
      <w:bookmarkStart w:id="25" w:name="_Toc471478493"/>
      <w:bookmarkStart w:id="26" w:name="_Toc471510676"/>
      <w:r>
        <w:t>The HARQ entity</w:t>
      </w:r>
      <w:r w:rsidR="00BE7BCF">
        <w:t xml:space="preserve"> is not restricted to a single numerology</w:t>
      </w:r>
      <w:r w:rsidR="003F29A0">
        <w:t>/TTI duration</w:t>
      </w:r>
      <w:r w:rsidR="00BE7BCF">
        <w:t>.</w:t>
      </w:r>
      <w:bookmarkEnd w:id="23"/>
      <w:bookmarkEnd w:id="24"/>
      <w:bookmarkEnd w:id="25"/>
      <w:bookmarkEnd w:id="26"/>
    </w:p>
    <w:p w14:paraId="77602FC4" w14:textId="17DB5A38" w:rsidR="00C620B1" w:rsidRDefault="00C620B1" w:rsidP="00C22482">
      <w:pPr>
        <w:pStyle w:val="Heading2"/>
      </w:pPr>
      <w:r>
        <w:t>DRX</w:t>
      </w:r>
    </w:p>
    <w:p w14:paraId="3793A87D" w14:textId="15D1250C" w:rsidR="00C22482" w:rsidRDefault="00BA54BD" w:rsidP="008B458F">
      <w:r>
        <w:t xml:space="preserve">The overall objective with DRX is to save power. This is further analysed in </w:t>
      </w:r>
      <w:r w:rsidR="006D0510">
        <w:t>[1]</w:t>
      </w:r>
      <w:r>
        <w:t>, where we conclude that there would be one DRX state per MAC entity. This does not preclude that the UE i</w:t>
      </w:r>
      <w:r w:rsidR="00B12250">
        <w:t>s</w:t>
      </w:r>
      <w:r>
        <w:t xml:space="preserve"> configured with multiple DRX configurations, of which only one is active at the time. As there would be one DRX state per MAC entity and that MAC entity is not restricted to a single numerology/TTI duration the DRX function of the MAC entity is also not restricted to a single numerology/TTI duration.</w:t>
      </w:r>
      <w:r w:rsidDel="00BA54BD">
        <w:t xml:space="preserve"> </w:t>
      </w:r>
    </w:p>
    <w:p w14:paraId="6A251EC8" w14:textId="73013009" w:rsidR="00C620B1" w:rsidRDefault="003F29A0" w:rsidP="003F29A0">
      <w:pPr>
        <w:pStyle w:val="Proposal"/>
      </w:pPr>
      <w:bookmarkStart w:id="27" w:name="_Toc471300917"/>
      <w:bookmarkStart w:id="28" w:name="_Toc471463857"/>
      <w:bookmarkStart w:id="29" w:name="_Toc471478494"/>
      <w:bookmarkStart w:id="30" w:name="_Toc471510677"/>
      <w:r>
        <w:t>The DRX function of MAC is not restricted to a single numerology/TTI duration.</w:t>
      </w:r>
      <w:bookmarkEnd w:id="27"/>
      <w:bookmarkEnd w:id="28"/>
      <w:bookmarkEnd w:id="29"/>
      <w:bookmarkEnd w:id="30"/>
    </w:p>
    <w:p w14:paraId="76515261" w14:textId="1D9C894E" w:rsidR="001859E1" w:rsidRDefault="001859E1" w:rsidP="001859E1">
      <w:pPr>
        <w:pStyle w:val="Heading2"/>
      </w:pPr>
      <w:r>
        <w:t>MAC entities</w:t>
      </w:r>
    </w:p>
    <w:p w14:paraId="194C2A17" w14:textId="12098308" w:rsidR="001859E1" w:rsidRDefault="001859E1" w:rsidP="001859E1">
      <w:r>
        <w:t xml:space="preserve">From the analysis above we have not identified any major reason which would restrict the MAC entity to a single numerology/TTI duration. </w:t>
      </w:r>
    </w:p>
    <w:p w14:paraId="6451C177" w14:textId="0C01706D" w:rsidR="001859E1" w:rsidRDefault="001859E1" w:rsidP="001859E1">
      <w:pPr>
        <w:pStyle w:val="BodyText"/>
      </w:pPr>
      <w:r>
        <w:lastRenderedPageBreak/>
        <w:t xml:space="preserve">In LTE the UE has one MAC entity per cell group in the case of dual connectivity. This is reasonable as the UE communicates with multiple eNBs at the other end. </w:t>
      </w:r>
      <w:r w:rsidR="00354208">
        <w:t xml:space="preserve">Having a MAC entity which would span multiple cell groups in NR would mean a huge increase in specification and implementation complexity with very unclear gains. Hence we think we can stick to restricting the MAC entity to a single cell group. </w:t>
      </w:r>
    </w:p>
    <w:p w14:paraId="2E42CD15" w14:textId="28BE7DE3" w:rsidR="00354208" w:rsidRPr="001859E1" w:rsidRDefault="00354208" w:rsidP="00354208">
      <w:pPr>
        <w:pStyle w:val="Proposal"/>
      </w:pPr>
      <w:bookmarkStart w:id="31" w:name="_Toc471300918"/>
      <w:bookmarkStart w:id="32" w:name="_Toc471463858"/>
      <w:bookmarkStart w:id="33" w:name="_Toc471478495"/>
      <w:bookmarkStart w:id="34" w:name="_Toc471510678"/>
      <w:r>
        <w:t>The UE has one MAC entity per cell group.</w:t>
      </w:r>
      <w:bookmarkEnd w:id="31"/>
      <w:bookmarkEnd w:id="32"/>
      <w:bookmarkEnd w:id="33"/>
      <w:bookmarkEnd w:id="34"/>
    </w:p>
    <w:p w14:paraId="17FDF0D9" w14:textId="77777777" w:rsidR="00354208" w:rsidRDefault="00354208" w:rsidP="00354208">
      <w:pPr>
        <w:pStyle w:val="Proposal"/>
      </w:pPr>
      <w:bookmarkStart w:id="35" w:name="_Toc471300919"/>
      <w:bookmarkStart w:id="36" w:name="_Toc471463859"/>
      <w:bookmarkStart w:id="37" w:name="_Toc471478496"/>
      <w:bookmarkStart w:id="38" w:name="_Toc471510679"/>
      <w:r>
        <w:t>The MAC entity is not restricted to a single numerology/TTI duration.</w:t>
      </w:r>
      <w:bookmarkEnd w:id="35"/>
      <w:bookmarkEnd w:id="36"/>
      <w:bookmarkEnd w:id="37"/>
      <w:bookmarkEnd w:id="38"/>
    </w:p>
    <w:p w14:paraId="7E690B51" w14:textId="77777777" w:rsidR="00C01F33" w:rsidRPr="00CE0424" w:rsidRDefault="00C01F33" w:rsidP="00CE0424">
      <w:pPr>
        <w:pStyle w:val="Heading1"/>
      </w:pPr>
      <w:r w:rsidRPr="00CE0424">
        <w:t>Conclusion</w:t>
      </w:r>
    </w:p>
    <w:p w14:paraId="73B826F6" w14:textId="77777777" w:rsidR="003628B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ABBA340" w14:textId="77777777" w:rsidR="003628BF" w:rsidRPr="003628BF" w:rsidRDefault="003628BF">
      <w:pPr>
        <w:pStyle w:val="TOC1"/>
        <w:rPr>
          <w:rFonts w:asciiTheme="minorHAnsi" w:eastAsiaTheme="minorEastAsia" w:hAnsiTheme="minorHAnsi" w:cstheme="minorBidi"/>
          <w:b w:val="0"/>
          <w:sz w:val="22"/>
        </w:rPr>
      </w:pPr>
      <w:r>
        <w:t>Proposal 1</w:t>
      </w:r>
      <w:r w:rsidRPr="003628BF">
        <w:rPr>
          <w:rFonts w:asciiTheme="minorHAnsi" w:eastAsiaTheme="minorEastAsia" w:hAnsiTheme="minorHAnsi" w:cstheme="minorBidi"/>
          <w:b w:val="0"/>
          <w:sz w:val="22"/>
        </w:rPr>
        <w:tab/>
      </w:r>
      <w:r>
        <w:t>LCP shall take the numerology/TTI duration of the MAC PDU into account.</w:t>
      </w:r>
    </w:p>
    <w:p w14:paraId="0B72C012" w14:textId="77777777" w:rsidR="003628BF" w:rsidRPr="003628BF" w:rsidRDefault="003628BF">
      <w:pPr>
        <w:pStyle w:val="TOC1"/>
        <w:rPr>
          <w:rFonts w:asciiTheme="minorHAnsi" w:eastAsiaTheme="minorEastAsia" w:hAnsiTheme="minorHAnsi" w:cstheme="minorBidi"/>
          <w:b w:val="0"/>
          <w:sz w:val="22"/>
        </w:rPr>
      </w:pPr>
      <w:r>
        <w:t>Proposal 2</w:t>
      </w:r>
      <w:r w:rsidRPr="003628BF">
        <w:rPr>
          <w:rFonts w:asciiTheme="minorHAnsi" w:eastAsiaTheme="minorEastAsia" w:hAnsiTheme="minorHAnsi" w:cstheme="minorBidi"/>
          <w:b w:val="0"/>
          <w:sz w:val="22"/>
        </w:rPr>
        <w:tab/>
      </w:r>
      <w:r>
        <w:t>A logical channel can be configured by RRC with a "maximum TTI duration".</w:t>
      </w:r>
    </w:p>
    <w:p w14:paraId="4C3F22B8" w14:textId="77777777" w:rsidR="003628BF" w:rsidRPr="003628BF" w:rsidRDefault="003628BF">
      <w:pPr>
        <w:pStyle w:val="TOC1"/>
        <w:rPr>
          <w:rFonts w:asciiTheme="minorHAnsi" w:eastAsiaTheme="minorEastAsia" w:hAnsiTheme="minorHAnsi" w:cstheme="minorBidi"/>
          <w:b w:val="0"/>
          <w:sz w:val="22"/>
        </w:rPr>
      </w:pPr>
      <w:r>
        <w:t>Proposal 3</w:t>
      </w:r>
      <w:r w:rsidRPr="003628BF">
        <w:rPr>
          <w:rFonts w:asciiTheme="minorHAnsi" w:eastAsiaTheme="minorEastAsia" w:hAnsiTheme="minorHAnsi" w:cstheme="minorBidi"/>
          <w:b w:val="0"/>
          <w:sz w:val="22"/>
        </w:rPr>
        <w:tab/>
      </w:r>
      <w:r>
        <w:t>For the purpose of LCP, UL grant carries (explicitly or implicitly) information on the TTI duration of the UL transmission. RAN1 can decide on the details.</w:t>
      </w:r>
    </w:p>
    <w:p w14:paraId="2D23BED1" w14:textId="77777777" w:rsidR="003628BF" w:rsidRPr="003628BF" w:rsidRDefault="003628BF">
      <w:pPr>
        <w:pStyle w:val="TOC1"/>
        <w:rPr>
          <w:rFonts w:asciiTheme="minorHAnsi" w:eastAsiaTheme="minorEastAsia" w:hAnsiTheme="minorHAnsi" w:cstheme="minorBidi"/>
          <w:b w:val="0"/>
          <w:sz w:val="22"/>
        </w:rPr>
      </w:pPr>
      <w:r>
        <w:t>Proposal 4</w:t>
      </w:r>
      <w:r w:rsidRPr="003628BF">
        <w:rPr>
          <w:rFonts w:asciiTheme="minorHAnsi" w:eastAsiaTheme="minorEastAsia" w:hAnsiTheme="minorHAnsi" w:cstheme="minorBidi"/>
          <w:b w:val="0"/>
          <w:sz w:val="22"/>
        </w:rPr>
        <w:tab/>
      </w:r>
      <w:r>
        <w:t>For the purpose of LCP, UL grant carries information on the size of the MAC PDU.</w:t>
      </w:r>
    </w:p>
    <w:p w14:paraId="4F5C26D3" w14:textId="77777777" w:rsidR="003628BF" w:rsidRPr="003628BF" w:rsidRDefault="003628BF">
      <w:pPr>
        <w:pStyle w:val="TOC1"/>
        <w:rPr>
          <w:rFonts w:asciiTheme="minorHAnsi" w:eastAsiaTheme="minorEastAsia" w:hAnsiTheme="minorHAnsi" w:cstheme="minorBidi"/>
          <w:b w:val="0"/>
          <w:sz w:val="22"/>
        </w:rPr>
      </w:pPr>
      <w:r>
        <w:t>Proposal 5</w:t>
      </w:r>
      <w:r w:rsidRPr="003628BF">
        <w:rPr>
          <w:rFonts w:asciiTheme="minorHAnsi" w:eastAsiaTheme="minorEastAsia" w:hAnsiTheme="minorHAnsi" w:cstheme="minorBidi"/>
          <w:b w:val="0"/>
          <w:sz w:val="22"/>
        </w:rPr>
        <w:tab/>
      </w:r>
      <w:r>
        <w:t>Send an LS to RAN1 and inform about our assumptions on the uplink grant.</w:t>
      </w:r>
    </w:p>
    <w:p w14:paraId="1D4A50C2" w14:textId="77777777" w:rsidR="003628BF" w:rsidRPr="003628BF" w:rsidRDefault="003628BF">
      <w:pPr>
        <w:pStyle w:val="TOC1"/>
        <w:rPr>
          <w:rFonts w:asciiTheme="minorHAnsi" w:eastAsiaTheme="minorEastAsia" w:hAnsiTheme="minorHAnsi" w:cstheme="minorBidi"/>
          <w:b w:val="0"/>
          <w:sz w:val="22"/>
        </w:rPr>
      </w:pPr>
      <w:r>
        <w:t>Proposal 6</w:t>
      </w:r>
      <w:r w:rsidRPr="003628BF">
        <w:rPr>
          <w:rFonts w:asciiTheme="minorHAnsi" w:eastAsiaTheme="minorEastAsia" w:hAnsiTheme="minorHAnsi" w:cstheme="minorBidi"/>
          <w:b w:val="0"/>
          <w:sz w:val="22"/>
        </w:rPr>
        <w:tab/>
      </w:r>
      <w:r>
        <w:t>The MAC entity has one HARQ Entity per carrier.</w:t>
      </w:r>
    </w:p>
    <w:p w14:paraId="4708EFBA" w14:textId="77777777" w:rsidR="003628BF" w:rsidRPr="003628BF" w:rsidRDefault="003628BF">
      <w:pPr>
        <w:pStyle w:val="TOC1"/>
        <w:rPr>
          <w:rFonts w:asciiTheme="minorHAnsi" w:eastAsiaTheme="minorEastAsia" w:hAnsiTheme="minorHAnsi" w:cstheme="minorBidi"/>
          <w:b w:val="0"/>
          <w:sz w:val="22"/>
        </w:rPr>
      </w:pPr>
      <w:r>
        <w:t>Proposal 7</w:t>
      </w:r>
      <w:r w:rsidRPr="003628BF">
        <w:rPr>
          <w:rFonts w:asciiTheme="minorHAnsi" w:eastAsiaTheme="minorEastAsia" w:hAnsiTheme="minorHAnsi" w:cstheme="minorBidi"/>
          <w:b w:val="0"/>
          <w:sz w:val="22"/>
        </w:rPr>
        <w:tab/>
      </w:r>
      <w:r>
        <w:t>The HARQ entity is not restricted to a single numerology/TTI duration.</w:t>
      </w:r>
    </w:p>
    <w:p w14:paraId="3CE196D3" w14:textId="77777777" w:rsidR="003628BF" w:rsidRPr="003628BF" w:rsidRDefault="003628BF">
      <w:pPr>
        <w:pStyle w:val="TOC1"/>
        <w:rPr>
          <w:rFonts w:asciiTheme="minorHAnsi" w:eastAsiaTheme="minorEastAsia" w:hAnsiTheme="minorHAnsi" w:cstheme="minorBidi"/>
          <w:b w:val="0"/>
          <w:sz w:val="22"/>
        </w:rPr>
      </w:pPr>
      <w:r>
        <w:t>Proposal 8</w:t>
      </w:r>
      <w:r w:rsidRPr="003628BF">
        <w:rPr>
          <w:rFonts w:asciiTheme="minorHAnsi" w:eastAsiaTheme="minorEastAsia" w:hAnsiTheme="minorHAnsi" w:cstheme="minorBidi"/>
          <w:b w:val="0"/>
          <w:sz w:val="22"/>
        </w:rPr>
        <w:tab/>
      </w:r>
      <w:r>
        <w:t>The DRX function of MAC is not restricted to a single numerology/TTI duration.</w:t>
      </w:r>
    </w:p>
    <w:p w14:paraId="3563F7D7" w14:textId="77777777" w:rsidR="003628BF" w:rsidRPr="003628BF" w:rsidRDefault="003628BF">
      <w:pPr>
        <w:pStyle w:val="TOC1"/>
        <w:rPr>
          <w:rFonts w:asciiTheme="minorHAnsi" w:eastAsiaTheme="minorEastAsia" w:hAnsiTheme="minorHAnsi" w:cstheme="minorBidi"/>
          <w:b w:val="0"/>
          <w:sz w:val="22"/>
        </w:rPr>
      </w:pPr>
      <w:r>
        <w:t>Proposal 9</w:t>
      </w:r>
      <w:r w:rsidRPr="003628BF">
        <w:rPr>
          <w:rFonts w:asciiTheme="minorHAnsi" w:eastAsiaTheme="minorEastAsia" w:hAnsiTheme="minorHAnsi" w:cstheme="minorBidi"/>
          <w:b w:val="0"/>
          <w:sz w:val="22"/>
        </w:rPr>
        <w:tab/>
      </w:r>
      <w:r>
        <w:t>The UE has one MAC entity per cell group.</w:t>
      </w:r>
    </w:p>
    <w:p w14:paraId="5727CF1E" w14:textId="77777777" w:rsidR="003628BF" w:rsidRPr="003628BF" w:rsidRDefault="003628BF">
      <w:pPr>
        <w:pStyle w:val="TOC1"/>
        <w:rPr>
          <w:rFonts w:asciiTheme="minorHAnsi" w:eastAsiaTheme="minorEastAsia" w:hAnsiTheme="minorHAnsi" w:cstheme="minorBidi"/>
          <w:b w:val="0"/>
          <w:sz w:val="22"/>
        </w:rPr>
      </w:pPr>
      <w:r>
        <w:t>Proposal 10</w:t>
      </w:r>
      <w:r w:rsidRPr="003628BF">
        <w:rPr>
          <w:rFonts w:asciiTheme="minorHAnsi" w:eastAsiaTheme="minorEastAsia" w:hAnsiTheme="minorHAnsi" w:cstheme="minorBidi"/>
          <w:b w:val="0"/>
          <w:sz w:val="22"/>
        </w:rPr>
        <w:tab/>
      </w:r>
      <w:r>
        <w:t>The MAC entity is not restricted to a single numerology/TTI duration.</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9" w:name="_In-sequence_SDU_delivery"/>
      <w:bookmarkEnd w:id="39"/>
      <w:r w:rsidRPr="00CE0424">
        <w:t>References</w:t>
      </w:r>
    </w:p>
    <w:p w14:paraId="227BEBC6" w14:textId="2319B2D8" w:rsidR="00AD17EF" w:rsidRDefault="006D0510" w:rsidP="00311702">
      <w:pPr>
        <w:pStyle w:val="Reference"/>
      </w:pPr>
      <w:bookmarkStart w:id="40" w:name="_Ref174151459"/>
      <w:bookmarkStart w:id="41" w:name="_Ref189809556"/>
      <w:r>
        <w:t>R2-1700411, "DRX framework for NR", Ericsson, RAN2 NR Ad hoc, Spokane, USA, 17</w:t>
      </w:r>
      <w:r w:rsidRPr="006D0510">
        <w:rPr>
          <w:vertAlign w:val="superscript"/>
        </w:rPr>
        <w:t>th</w:t>
      </w:r>
      <w:r>
        <w:t xml:space="preserve"> – 19</w:t>
      </w:r>
      <w:r w:rsidRPr="006D0510">
        <w:rPr>
          <w:vertAlign w:val="superscript"/>
        </w:rPr>
        <w:t>th</w:t>
      </w:r>
      <w:r>
        <w:t xml:space="preserve"> January 2017</w:t>
      </w:r>
    </w:p>
    <w:p w14:paraId="2BEEDC8A" w14:textId="70A4032B" w:rsidR="003628BF" w:rsidRDefault="003628BF" w:rsidP="003628BF">
      <w:pPr>
        <w:pStyle w:val="Reference"/>
      </w:pPr>
      <w:r>
        <w:t>R2-1700417, "</w:t>
      </w:r>
      <w:r w:rsidRPr="003628BF">
        <w:t>[DRAFT] LS on Contents of uplink grant</w:t>
      </w:r>
      <w:r>
        <w:t xml:space="preserve">", Ericsson, </w:t>
      </w:r>
      <w:r>
        <w:t>RAN2 NR Ad hoc, Spokane, USA, 17</w:t>
      </w:r>
      <w:r w:rsidRPr="006D0510">
        <w:rPr>
          <w:vertAlign w:val="superscript"/>
        </w:rPr>
        <w:t>th</w:t>
      </w:r>
      <w:r>
        <w:t xml:space="preserve"> – 19</w:t>
      </w:r>
      <w:r w:rsidRPr="006D0510">
        <w:rPr>
          <w:vertAlign w:val="superscript"/>
        </w:rPr>
        <w:t>th</w:t>
      </w:r>
      <w:r>
        <w:t xml:space="preserve"> January 2017</w:t>
      </w:r>
    </w:p>
    <w:bookmarkEnd w:id="40"/>
    <w:bookmarkEnd w:id="41"/>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7BD6B" w14:textId="77777777" w:rsidR="00865E12" w:rsidRDefault="00865E12">
      <w:r>
        <w:separator/>
      </w:r>
    </w:p>
  </w:endnote>
  <w:endnote w:type="continuationSeparator" w:id="0">
    <w:p w14:paraId="3B58EDC1" w14:textId="77777777" w:rsidR="00865E12" w:rsidRDefault="00865E12">
      <w:r>
        <w:continuationSeparator/>
      </w:r>
    </w:p>
  </w:endnote>
  <w:endnote w:type="continuationNotice" w:id="1">
    <w:p w14:paraId="3D58FFFB" w14:textId="77777777" w:rsidR="00865E12" w:rsidRDefault="00865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B6AA554" w:rsidR="00685651" w:rsidRDefault="006856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16E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16E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08F24" w14:textId="77777777" w:rsidR="00865E12" w:rsidRDefault="00865E12">
      <w:r>
        <w:separator/>
      </w:r>
    </w:p>
  </w:footnote>
  <w:footnote w:type="continuationSeparator" w:id="0">
    <w:p w14:paraId="41DEDB29" w14:textId="77777777" w:rsidR="00865E12" w:rsidRDefault="00865E12">
      <w:r>
        <w:continuationSeparator/>
      </w:r>
    </w:p>
  </w:footnote>
  <w:footnote w:type="continuationNotice" w:id="1">
    <w:p w14:paraId="6660E2FE" w14:textId="77777777" w:rsidR="00865E12" w:rsidRDefault="00865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85651" w:rsidRDefault="006856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90C5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527F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5A9A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6EA"/>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393E"/>
    <w:rsid w:val="00077E5F"/>
    <w:rsid w:val="0008036A"/>
    <w:rsid w:val="00081AE6"/>
    <w:rsid w:val="0008453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CB7"/>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4F3"/>
    <w:rsid w:val="001659C1"/>
    <w:rsid w:val="00173A8E"/>
    <w:rsid w:val="00177795"/>
    <w:rsid w:val="0018143F"/>
    <w:rsid w:val="001859E1"/>
    <w:rsid w:val="00190AC1"/>
    <w:rsid w:val="00192497"/>
    <w:rsid w:val="0019341A"/>
    <w:rsid w:val="00197DF9"/>
    <w:rsid w:val="001A1987"/>
    <w:rsid w:val="001A2564"/>
    <w:rsid w:val="001A6173"/>
    <w:rsid w:val="001A6CBA"/>
    <w:rsid w:val="001B0D97"/>
    <w:rsid w:val="001B5A5D"/>
    <w:rsid w:val="001B62A2"/>
    <w:rsid w:val="001C1CE5"/>
    <w:rsid w:val="001C3D2A"/>
    <w:rsid w:val="001C6495"/>
    <w:rsid w:val="001D216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832"/>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F51"/>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208"/>
    <w:rsid w:val="0035482C"/>
    <w:rsid w:val="00357380"/>
    <w:rsid w:val="003602D9"/>
    <w:rsid w:val="003604CE"/>
    <w:rsid w:val="003628B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1AA0"/>
    <w:rsid w:val="003C2702"/>
    <w:rsid w:val="003C7806"/>
    <w:rsid w:val="003D109F"/>
    <w:rsid w:val="003D2478"/>
    <w:rsid w:val="003D2FC4"/>
    <w:rsid w:val="003D3C45"/>
    <w:rsid w:val="003D5B1F"/>
    <w:rsid w:val="003E15FA"/>
    <w:rsid w:val="003E55E4"/>
    <w:rsid w:val="003E74E3"/>
    <w:rsid w:val="003E75BA"/>
    <w:rsid w:val="003F05C7"/>
    <w:rsid w:val="003F29A0"/>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0CC8"/>
    <w:rsid w:val="0056121F"/>
    <w:rsid w:val="00572505"/>
    <w:rsid w:val="00580202"/>
    <w:rsid w:val="00582809"/>
    <w:rsid w:val="0058280D"/>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F7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65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51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10F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C57"/>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5E1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58F"/>
    <w:rsid w:val="008B51A0"/>
    <w:rsid w:val="008B592A"/>
    <w:rsid w:val="008B7B5C"/>
    <w:rsid w:val="008C0C99"/>
    <w:rsid w:val="008C14B5"/>
    <w:rsid w:val="008C2017"/>
    <w:rsid w:val="008C4958"/>
    <w:rsid w:val="008C4BAA"/>
    <w:rsid w:val="008C6AE8"/>
    <w:rsid w:val="008C7573"/>
    <w:rsid w:val="008D04FB"/>
    <w:rsid w:val="008D34F1"/>
    <w:rsid w:val="008D39D8"/>
    <w:rsid w:val="008D6D1A"/>
    <w:rsid w:val="008E065E"/>
    <w:rsid w:val="008E0927"/>
    <w:rsid w:val="008E1909"/>
    <w:rsid w:val="008F1EAB"/>
    <w:rsid w:val="008F33DC"/>
    <w:rsid w:val="008F477F"/>
    <w:rsid w:val="008F784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CBF"/>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790"/>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76BF"/>
    <w:rsid w:val="00A61499"/>
    <w:rsid w:val="00A62A77"/>
    <w:rsid w:val="00A63483"/>
    <w:rsid w:val="00A657D7"/>
    <w:rsid w:val="00A660AC"/>
    <w:rsid w:val="00A67E6C"/>
    <w:rsid w:val="00A71B99"/>
    <w:rsid w:val="00A739D0"/>
    <w:rsid w:val="00A761D4"/>
    <w:rsid w:val="00A77EC4"/>
    <w:rsid w:val="00A841B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EF"/>
    <w:rsid w:val="00AD3F94"/>
    <w:rsid w:val="00AD4A5A"/>
    <w:rsid w:val="00AE27AC"/>
    <w:rsid w:val="00AE40E0"/>
    <w:rsid w:val="00AE4DBA"/>
    <w:rsid w:val="00AE4F07"/>
    <w:rsid w:val="00AF1C5D"/>
    <w:rsid w:val="00AF42D7"/>
    <w:rsid w:val="00AF7C90"/>
    <w:rsid w:val="00B006FE"/>
    <w:rsid w:val="00B007CB"/>
    <w:rsid w:val="00B02AA9"/>
    <w:rsid w:val="00B02FA3"/>
    <w:rsid w:val="00B05084"/>
    <w:rsid w:val="00B12250"/>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2C05"/>
    <w:rsid w:val="00B85DE5"/>
    <w:rsid w:val="00B90F73"/>
    <w:rsid w:val="00B93B59"/>
    <w:rsid w:val="00B9406A"/>
    <w:rsid w:val="00BA2280"/>
    <w:rsid w:val="00BA2A08"/>
    <w:rsid w:val="00BA54B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BCF"/>
    <w:rsid w:val="00BF00D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482"/>
    <w:rsid w:val="00C26FAA"/>
    <w:rsid w:val="00C279B5"/>
    <w:rsid w:val="00C27C45"/>
    <w:rsid w:val="00C3719D"/>
    <w:rsid w:val="00C54995"/>
    <w:rsid w:val="00C54D41"/>
    <w:rsid w:val="00C60783"/>
    <w:rsid w:val="00C620B1"/>
    <w:rsid w:val="00C64672"/>
    <w:rsid w:val="00C70697"/>
    <w:rsid w:val="00C72EF4"/>
    <w:rsid w:val="00C75D2F"/>
    <w:rsid w:val="00C767BE"/>
    <w:rsid w:val="00C76963"/>
    <w:rsid w:val="00C76E3C"/>
    <w:rsid w:val="00C81568"/>
    <w:rsid w:val="00C9027A"/>
    <w:rsid w:val="00C9068E"/>
    <w:rsid w:val="00C9359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9A7"/>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612"/>
    <w:rsid w:val="00E67C51"/>
    <w:rsid w:val="00E72EFC"/>
    <w:rsid w:val="00E758EC"/>
    <w:rsid w:val="00E8234C"/>
    <w:rsid w:val="00E83AA9"/>
    <w:rsid w:val="00E85928"/>
    <w:rsid w:val="00E87822"/>
    <w:rsid w:val="00E90395"/>
    <w:rsid w:val="00E90E49"/>
    <w:rsid w:val="00E917F9"/>
    <w:rsid w:val="00E9291C"/>
    <w:rsid w:val="00E93FFE"/>
    <w:rsid w:val="00E94F8A"/>
    <w:rsid w:val="00E97949"/>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3C06"/>
    <w:rsid w:val="00FB4C80"/>
    <w:rsid w:val="00FB6A6A"/>
    <w:rsid w:val="00FC4AD0"/>
    <w:rsid w:val="00FC7429"/>
    <w:rsid w:val="00FD07F6"/>
    <w:rsid w:val="00FD1EC8"/>
    <w:rsid w:val="00FD3FB3"/>
    <w:rsid w:val="00FD47ED"/>
    <w:rsid w:val="00FD74DB"/>
    <w:rsid w:val="00FD7660"/>
    <w:rsid w:val="00FE0655"/>
    <w:rsid w:val="00FE2365"/>
    <w:rsid w:val="00FE4C7B"/>
    <w:rsid w:val="00FE6E9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65AE913-FD1F-47B1-8C7A-DDAD573D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8B458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B458F"/>
    <w:rPr>
      <w:rFonts w:ascii="Arial" w:eastAsia="MS Mincho" w:hAnsi="Arial"/>
      <w:szCs w:val="24"/>
      <w:lang w:val="en-GB" w:eastAsia="en-GB"/>
    </w:rPr>
  </w:style>
  <w:style w:type="paragraph" w:customStyle="1" w:styleId="Doc-title">
    <w:name w:val="Doc-title"/>
    <w:basedOn w:val="Normal"/>
    <w:next w:val="Doc-text2"/>
    <w:link w:val="Doc-titleChar"/>
    <w:qFormat/>
    <w:rsid w:val="00B82C0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82C05"/>
    <w:rPr>
      <w:rFonts w:ascii="Arial" w:eastAsia="MS Mincho" w:hAnsi="Arial"/>
      <w:noProof/>
      <w:szCs w:val="24"/>
      <w:lang w:val="en-GB" w:eastAsia="en-GB"/>
    </w:rPr>
  </w:style>
  <w:style w:type="character" w:customStyle="1" w:styleId="B1Char">
    <w:name w:val="B1 Char"/>
    <w:basedOn w:val="DefaultParagraphFont"/>
    <w:link w:val="B1"/>
    <w:rsid w:val="00192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8780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SAQRZK7RPU5V-1-15946</_dlc_DocId>
    <TaxCatchAll xmlns="08b2df90-05d3-4030-90d4-c9feeb4a1cd9">
      <Value>32</Value>
      <Value>31</Value>
      <Value>30</Value>
      <Value>2</Value>
      <Value>1</Value>
    </TaxCatchAll>
    <_dlc_DocIdUrl xmlns="08b2df90-05d3-4030-90d4-c9feeb4a1cd9">
      <Url>https://ericoll.internal.ericsson.com/sites/NSA/_layouts/DocIdRedir.aspx?ID=SAQRZK7RPU5V-1-15946</Url>
      <Description>SAQRZK7RPU5V-1-15946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8B499-9E40-4EA8-97B1-808A0B8074D5}">
  <ds:schemaRefs>
    <ds:schemaRef ds:uri="http://schemas.microsoft.com/sharepoint/v3/contenttype/forms"/>
  </ds:schemaRefs>
</ds:datastoreItem>
</file>

<file path=customXml/itemProps2.xml><?xml version="1.0" encoding="utf-8"?>
<ds:datastoreItem xmlns:ds="http://schemas.openxmlformats.org/officeDocument/2006/customXml" ds:itemID="{BCFBFB75-5DBE-44BF-A80D-CAE8497B6D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B0010A78-3C48-40A8-B5D5-6E1FE6527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AE914-8F82-40ED-B22D-3903968B5BA9}">
  <ds:schemaRefs>
    <ds:schemaRef ds:uri="Microsoft.SharePoint.Taxonomy.ContentTypeSync"/>
  </ds:schemaRefs>
</ds:datastoreItem>
</file>

<file path=customXml/itemProps5.xml><?xml version="1.0" encoding="utf-8"?>
<ds:datastoreItem xmlns:ds="http://schemas.openxmlformats.org/officeDocument/2006/customXml" ds:itemID="{23916CC5-4F5C-44FC-B12F-376C368ECD55}">
  <ds:schemaRefs>
    <ds:schemaRef ds:uri="http://schemas.microsoft.com/sharepoint/events"/>
  </ds:schemaRefs>
</ds:datastoreItem>
</file>

<file path=customXml/itemProps6.xml><?xml version="1.0" encoding="utf-8"?>
<ds:datastoreItem xmlns:ds="http://schemas.openxmlformats.org/officeDocument/2006/customXml" ds:itemID="{1368B198-D7AA-49FF-9AA5-5AD5444E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3</Pages>
  <Words>1279</Words>
  <Characters>6784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Mats Folke</cp:lastModifiedBy>
  <cp:revision>24</cp:revision>
  <cp:lastPrinted>2008-01-31T06:09:00Z</cp:lastPrinted>
  <dcterms:created xsi:type="dcterms:W3CDTF">2017-01-02T11:31:00Z</dcterms:created>
  <dcterms:modified xsi:type="dcterms:W3CDTF">2017-01-06T23:04:00Z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ad3ae610-f807-417d-b03d-3cf35ec30a7e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